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Odnotowaliśmy wzrost sprzedaży prasy w naszej sieci Saloniki Prasowe. Najbardziej zwiększyła się sprzedaż czasopism kobiecych, pism dla dzieci i wydawnictw hobbystycznych.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Odnotowaliśmy wzrost sprzedaży prasy w naszej sieci Saloniki Prasowe. Najbardziej zwiększyła się sprzedaż czasopism kobiecych, pism dla dzieci i wydawnictw hobbystycznych.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http://www.kolporter.com.pl/news.php?nr=283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#prasa #sprzedazprasy #salonikiprasowe #kolporte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Odnotowaliśmy wzrost sprzedaży prasy w naszej sieci Saloniki Prasowe. Najbardziej zwiększyła się sprzedaż czasopism kobiecych, pism dla dzieci i wydawnictw hobbystycznych.</w:t>
      </w:r>
    </w:p>
    <w:p>
      <w:r>
        <w:rPr>
          <w:rFonts w:ascii="calibri" w:hAnsi="calibri" w:eastAsia="calibri" w:cs="calibri"/>
          <w:sz w:val="24"/>
          <w:szCs w:val="24"/>
        </w:rPr>
        <w:t xml:space="preserve"> http://www.kolporter.com.pl/news.php?nr=283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#prasa #sprzedazprasy #salonikiprasowe #kolporte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2024-04-26T21:34:26+02:00</dcterms:created>
  <dcterms:modified xsi:type="dcterms:W3CDTF">2024-04-26T21:34:26+02:00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