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analizował sprzedaż prasy w małych punktach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Magazyny telewizyjne i pisma dla kobiet to najchętniej kupowane tytuły prasowe w małych punktach – wynika z analizy tegorocznych wyników sprzedaży, przygotowanej przez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telewizyjne i pisma dla kobiet to najchętniej kupowane tytuły prasowe w małych punktach – wynika z analizy tegorocznych wyników sprzedaży, przygotowanej przez Kolportera.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Na bieżąco analizujemy sprzedaż dystrybuowanych tytułów, w wielu różnych aspektach. Tym razem postanowiliśmy podsumować tegoroczne wyniki małych punktów. Duża sprzedaż poszczególnych tytułów prasowych w hiper- i supermarketach czy na stacjach paliw nikogo nie dziwi, skoro w ciągu dnia przez te placówki handlowe przewijają się tysiące klientów. Okazuje się jednak, że niewielkie punkty handlowe także mogą uzyskiwać znakomite wyniki sprzedażowe – mówi Dariusz Materek, rzecznik prasowy Kolportera.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Przeanalizowane pod kątem rocznej sprzedaży małe punkty to prywatne kioski, saloniki i sklepy małoformatowe, do których sześć dni w tygodniu Kolporter dostarcza prasę. Chociaż pod względem wielkości sprzedaży nie mogą się równać z wielkim sieciami to okazuje się, że często osiągają imponujące wyniki – najlepsi miesięcznie sprzedają nawet ponad 7 tys. egzemplarzy różnych tytułów prasowych.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Gazety i czasopisma mamy wystawione na sześciu regałach i ekspozytorach, więc klient zawsze ma do nich blisko. Plusem jest też nasza lokalizacja – w pasażu, gdzie są inne sklep, ale tylko u nas można kupić prasę – mówi Andrzej Biedasz, właściciel sklepu „Elbi” w Piasecznie. W tym roku w jego punkcie sprzedano już ok. 70 tys. egzemplarzy gazet i czasopism.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dobre wyniki osiągane przez małe punkty pokazują, że ten najbardziej tradycyjny segment sprzedaży prasy ma cały czas bardzo duży potencjał. Ich właściciele współpracują z nami często od kilkunastu i więcej lat. Przy naszym wsparciu wypracowali własne, efektywne metody sprzedaży. Doskonale wiedzą czego oczekują ich klienci, są znakomitymi handlowcami i bardzo dobrze znają specyfikę sprzedaży prasy. Dzięki temu jest to dla nich atrakcyjne źródło przychodów – ocenia Dariusz Materek. </w:t>
      </w:r>
    </w:p>
    <w:p>
      <w:r>
        <w:rPr>
          <w:rFonts w:ascii="calibri" w:hAnsi="calibri" w:eastAsia="calibri" w:cs="calibri"/>
          <w:sz w:val="24"/>
          <w:szCs w:val="24"/>
        </w:rPr>
        <w:t xml:space="preserve">Analizą objęto około 500 punktów sprzedaży, do których prasę dostarcza Kolporter.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2026-07-14T11:56:07+02:00</dcterms:created>
  <dcterms:modified xsi:type="dcterms:W3CDTF">2026-07-14T11:56:07+02:00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