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„Grześków”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są jednym z partnerów akcji „2 miliony Grześków do wygrania”. Klienci mogą korzystać z tej promocji aż do 30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kupi wafel „Grzesiek” i wewnątrz opakowania znajdzie informację „Wygrałeś”, może wymienić je na kolejnego „Grześka” w saloniku Kolportera. Akcja rozpoczęła się 1 lutego br., do wydania przeznaczono dwa miliony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To kolejna, realizowana w naszej sieci akcja promocyjna. W ubiegłym roku nasi klienci brali udział w ok. 13 różnego rodzaju promocjach, organizowanych przez współpracujących z nami producentów i dostawców. Realizacje cieszą się sporym powodzeniem – każdy dodatkowy bonus, prezent, możliwość wygranej są atrakcyjne dla kupujących. Z kolei producenci i dostawcy, którzy z nami współpracują w tym zakresie, mają zapewnione szerokie dotarcie ze swoją akcją, a także profesjonalne wsparcie z naszej strony. Od ponad 20 lat realizujemy tego typu projekty, w tym czasie wydaliśmy już blisko 8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