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 nagrody do saloniku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700 tysięcy nagród zostało wydanych w salonikach prasowych Kolportera w 2017 r. w ramach różnego rodzaju akcji promocyjnych.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Wydawanie nagród w sieci własnych punktów sprzedaży to tzw. usługa redempcji. W 2017 r. z tej oferty korzystali m.in.: Winiary, Kamis, Ferrero, Play, Plus.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Redempcja</w:t>
        </w:r>
      </w:hyperlink>
      <w:r>
        <w:rPr>
          <w:rFonts w:ascii="calibri" w:hAnsi="calibri" w:eastAsia="calibri" w:cs="calibri"/>
          <w:sz w:val="24"/>
          <w:szCs w:val="24"/>
        </w:rPr>
        <w:t xml:space="preserve"> cieszy się sporym zainteresowaniem dostawców i producentów – w 2017 r., w porównaniu do 2016 r., wydaliśmy o ok. 100 tysięcy więcej nagród. Ta forma wsparcia akcji i konkursów pozwala przede wszystkim na znaczne ograniczenie kosztów logistycznych. Cały proces dystrybucji nagród bierzemy na siebie, a z uwagi na skalę naszej sieci jesteśmy w stanie realizować nawet największe programy promocyjne – mówi Robert Szczepaniak, dyrektor marketingu Kolportera. Jako przykład akcji cieszącej się dużym zainteresowaniem klientów podaje kampanie Winiar – osoby, które kupiły wskazane produkty za kwotę minimum 10 zł miały możliwość odebrać w saloniku nagrodę w postaci ozdobnej deski do krojenia.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Nasz system informatyczny pozwala nam na realizację również bardziej skomplikowanych akcji, związanych np. z realizację kodów, czy łączących kilka etapów zdobywania nagród. W 2017 r. już po raz drugi organizowaliśmy akcję, w której klient za zakup trzech wybranych napojów PepsiCo otrzymywał drukowany przez nas unikalny kod, uprawniający do odebrania biletu wstępu do jednego z JuraParków. Wydaliśmy ponad 16 tysięcy tego typu kodów, o ok. tysiąc więcej niż w poprzednim roku – dodaje Robert Szczepaniak.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Równolegle z ofertą wydawania nagród Kolporter realizuje także dla dostawców i producentów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programy samplingowe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polegające na dystrybucji materiałów reklamowych lub próbek towarów klientom.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edempcja.kolporter.com.pl/" TargetMode="External"/><Relationship Id="rId8" Type="http://schemas.openxmlformats.org/officeDocument/2006/relationships/hyperlink" Target="http://sampling.kolporter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2024-04-28T23:06:52+02:00</dcterms:created>
  <dcterms:modified xsi:type="dcterms:W3CDTF">2024-04-28T23:06:52+02:00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